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7B7E" w:rsidRDefault="00FA7B7E" w:rsidP="00FA7B7E">
      <w:pPr>
        <w:autoSpaceDE w:val="0"/>
        <w:autoSpaceDN w:val="0"/>
        <w:adjustRightInd w:val="0"/>
        <w:spacing w:after="0" w:line="240" w:lineRule="auto"/>
        <w:rPr>
          <w:rFonts w:ascii="TimesNewRoman" w:hAnsi="TimesNewRoman" w:cs="TimesNewRoman"/>
          <w:sz w:val="24"/>
          <w:szCs w:val="24"/>
        </w:rPr>
      </w:pPr>
      <w:r w:rsidRPr="00FA7B7E">
        <w:rPr>
          <w:rFonts w:ascii="TimesNewRoman" w:hAnsi="TimesNewRoman" w:cs="TimesNewRoman"/>
          <w:b/>
          <w:sz w:val="24"/>
          <w:szCs w:val="24"/>
        </w:rPr>
        <w:t xml:space="preserve">The </w:t>
      </w:r>
      <w:r w:rsidR="007504B0">
        <w:rPr>
          <w:rFonts w:ascii="TimesNewRoman" w:hAnsi="TimesNewRoman" w:cs="TimesNewRoman"/>
          <w:b/>
          <w:sz w:val="24"/>
          <w:szCs w:val="24"/>
        </w:rPr>
        <w:t>Mississippi</w:t>
      </w:r>
      <w:r w:rsidRPr="00FA7B7E">
        <w:rPr>
          <w:rFonts w:ascii="TimesNewRoman" w:hAnsi="TimesNewRoman" w:cs="TimesNewRoman"/>
          <w:b/>
          <w:sz w:val="24"/>
          <w:szCs w:val="24"/>
        </w:rPr>
        <w:t xml:space="preserve"> </w:t>
      </w:r>
      <w:r w:rsidR="00E109E9">
        <w:rPr>
          <w:rFonts w:ascii="TimesNewRoman" w:hAnsi="TimesNewRoman" w:cs="TimesNewRoman"/>
          <w:b/>
          <w:sz w:val="24"/>
          <w:szCs w:val="24"/>
        </w:rPr>
        <w:t>N</w:t>
      </w:r>
      <w:r w:rsidR="004A4D55">
        <w:rPr>
          <w:rFonts w:ascii="TimesNewRoman" w:hAnsi="TimesNewRoman" w:cs="TimesNewRoman"/>
          <w:b/>
          <w:sz w:val="24"/>
          <w:szCs w:val="24"/>
        </w:rPr>
        <w:t>itrogen</w:t>
      </w:r>
      <w:r w:rsidRPr="00FA7B7E">
        <w:rPr>
          <w:rFonts w:ascii="TimesNewRoman" w:hAnsi="TimesNewRoman" w:cs="TimesNewRoman"/>
          <w:b/>
          <w:sz w:val="24"/>
          <w:szCs w:val="24"/>
        </w:rPr>
        <w:t xml:space="preserve"> Removal Program</w:t>
      </w:r>
      <w:r w:rsidR="00561479">
        <w:rPr>
          <w:rFonts w:ascii="TimesNewRoman" w:hAnsi="TimesNewRoman" w:cs="TimesNewRoman"/>
          <w:b/>
          <w:sz w:val="24"/>
          <w:szCs w:val="24"/>
        </w:rPr>
        <w:t xml:space="preserve"> </w:t>
      </w:r>
    </w:p>
    <w:p w:rsidR="00FA7B7E" w:rsidRDefault="00FA7B7E" w:rsidP="00FA7B7E">
      <w:pPr>
        <w:autoSpaceDE w:val="0"/>
        <w:autoSpaceDN w:val="0"/>
        <w:adjustRightInd w:val="0"/>
        <w:spacing w:after="0" w:line="240" w:lineRule="auto"/>
        <w:rPr>
          <w:rFonts w:ascii="TimesNewRoman" w:hAnsi="TimesNewRoman" w:cs="TimesNewRoman"/>
          <w:sz w:val="24"/>
          <w:szCs w:val="24"/>
        </w:rPr>
      </w:pPr>
    </w:p>
    <w:p w:rsidR="00FA7B7E" w:rsidRDefault="00FA7B7E" w:rsidP="00FA7B7E">
      <w:pPr>
        <w:autoSpaceDE w:val="0"/>
        <w:autoSpaceDN w:val="0"/>
        <w:adjustRightInd w:val="0"/>
        <w:spacing w:after="0" w:line="240" w:lineRule="auto"/>
        <w:rPr>
          <w:rFonts w:ascii="TimesNewRoman" w:hAnsi="TimesNewRoman" w:cs="TimesNewRoman"/>
          <w:sz w:val="24"/>
          <w:szCs w:val="24"/>
        </w:rPr>
      </w:pPr>
    </w:p>
    <w:p w:rsidR="00D3326D" w:rsidRDefault="00FA7B7E" w:rsidP="009235C0">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 xml:space="preserve">The </w:t>
      </w:r>
      <w:r w:rsidR="007504B0">
        <w:rPr>
          <w:rFonts w:ascii="TimesNewRoman" w:hAnsi="TimesNewRoman" w:cs="TimesNewRoman"/>
          <w:sz w:val="24"/>
          <w:szCs w:val="24"/>
        </w:rPr>
        <w:t>Mississippi</w:t>
      </w:r>
      <w:r w:rsidR="00DA4A3B">
        <w:rPr>
          <w:rFonts w:ascii="TimesNewRoman" w:hAnsi="TimesNewRoman" w:cs="TimesNewRoman"/>
          <w:sz w:val="24"/>
          <w:szCs w:val="24"/>
        </w:rPr>
        <w:t xml:space="preserve"> </w:t>
      </w:r>
      <w:r w:rsidR="00D3326D">
        <w:rPr>
          <w:rFonts w:ascii="TimesNewRoman" w:hAnsi="TimesNewRoman" w:cs="TimesNewRoman"/>
          <w:sz w:val="24"/>
          <w:szCs w:val="24"/>
        </w:rPr>
        <w:t xml:space="preserve">Department of </w:t>
      </w:r>
      <w:r w:rsidR="00DA4A3B">
        <w:rPr>
          <w:rFonts w:ascii="TimesNewRoman" w:hAnsi="TimesNewRoman" w:cs="TimesNewRoman"/>
          <w:sz w:val="24"/>
          <w:szCs w:val="24"/>
        </w:rPr>
        <w:t xml:space="preserve">Environmental </w:t>
      </w:r>
      <w:r w:rsidR="00AC3186">
        <w:rPr>
          <w:rFonts w:ascii="TimesNewRoman" w:hAnsi="TimesNewRoman" w:cs="TimesNewRoman"/>
          <w:sz w:val="24"/>
          <w:szCs w:val="24"/>
        </w:rPr>
        <w:t>Quality</w:t>
      </w:r>
      <w:r w:rsidR="00DA4A3B">
        <w:rPr>
          <w:rFonts w:ascii="TimesNewRoman" w:hAnsi="TimesNewRoman" w:cs="TimesNewRoman"/>
          <w:sz w:val="24"/>
          <w:szCs w:val="24"/>
        </w:rPr>
        <w:t xml:space="preserve"> manages</w:t>
      </w:r>
      <w:r w:rsidR="00181B27">
        <w:rPr>
          <w:rFonts w:ascii="TimesNewRoman" w:hAnsi="TimesNewRoman" w:cs="TimesNewRoman"/>
          <w:sz w:val="24"/>
          <w:szCs w:val="24"/>
        </w:rPr>
        <w:t xml:space="preserve"> the</w:t>
      </w:r>
      <w:r w:rsidR="009235C0">
        <w:rPr>
          <w:rFonts w:ascii="TimesNewRoman" w:hAnsi="TimesNewRoman" w:cs="TimesNewRoman"/>
          <w:sz w:val="24"/>
          <w:szCs w:val="24"/>
        </w:rPr>
        <w:t xml:space="preserve"> NPDES surface water discharge program</w:t>
      </w:r>
      <w:r w:rsidR="00181B27">
        <w:rPr>
          <w:rFonts w:ascii="TimesNewRoman" w:hAnsi="TimesNewRoman" w:cs="TimesNewRoman"/>
          <w:sz w:val="24"/>
          <w:szCs w:val="24"/>
        </w:rPr>
        <w:t xml:space="preserve">. </w:t>
      </w:r>
      <w:r w:rsidR="007504B0">
        <w:rPr>
          <w:rFonts w:ascii="TimesNewRoman" w:hAnsi="TimesNewRoman" w:cs="TimesNewRoman"/>
          <w:sz w:val="24"/>
          <w:szCs w:val="24"/>
        </w:rPr>
        <w:t>Mississippi</w:t>
      </w:r>
      <w:r w:rsidR="009235C0">
        <w:rPr>
          <w:rFonts w:ascii="TimesNewRoman" w:hAnsi="TimesNewRoman" w:cs="TimesNewRoman"/>
          <w:sz w:val="24"/>
          <w:szCs w:val="24"/>
        </w:rPr>
        <w:t xml:space="preserve"> </w:t>
      </w:r>
      <w:r w:rsidR="00626909">
        <w:rPr>
          <w:rFonts w:ascii="TimesNewRoman" w:hAnsi="TimesNewRoman" w:cs="TimesNewRoman"/>
          <w:sz w:val="24"/>
          <w:szCs w:val="24"/>
        </w:rPr>
        <w:t xml:space="preserve">does not have specific total nitrogen or nitrate nitrogen on any </w:t>
      </w:r>
      <w:r w:rsidR="000C22EE">
        <w:rPr>
          <w:rFonts w:ascii="TimesNewRoman" w:hAnsi="TimesNewRoman" w:cs="TimesNewRoman"/>
          <w:sz w:val="24"/>
          <w:szCs w:val="24"/>
        </w:rPr>
        <w:t xml:space="preserve">municipal (POTW) </w:t>
      </w:r>
      <w:r w:rsidR="00626909">
        <w:rPr>
          <w:rFonts w:ascii="TimesNewRoman" w:hAnsi="TimesNewRoman" w:cs="TimesNewRoman"/>
          <w:sz w:val="24"/>
          <w:szCs w:val="24"/>
        </w:rPr>
        <w:t xml:space="preserve">surface water discharges.  </w:t>
      </w:r>
      <w:r w:rsidR="00D42877">
        <w:rPr>
          <w:rFonts w:ascii="TimesNewRoman" w:hAnsi="TimesNewRoman" w:cs="TimesNewRoman"/>
          <w:sz w:val="24"/>
          <w:szCs w:val="24"/>
        </w:rPr>
        <w:t xml:space="preserve">  </w:t>
      </w:r>
    </w:p>
    <w:p w:rsidR="00D3326D" w:rsidRDefault="00D3326D" w:rsidP="009235C0">
      <w:pPr>
        <w:autoSpaceDE w:val="0"/>
        <w:autoSpaceDN w:val="0"/>
        <w:adjustRightInd w:val="0"/>
        <w:spacing w:after="0" w:line="240" w:lineRule="auto"/>
        <w:rPr>
          <w:rFonts w:ascii="TimesNewRoman" w:hAnsi="TimesNewRoman" w:cs="TimesNewRoman"/>
          <w:sz w:val="24"/>
          <w:szCs w:val="24"/>
        </w:rPr>
      </w:pPr>
    </w:p>
    <w:p w:rsidR="006611D9" w:rsidRDefault="007504B0" w:rsidP="009235C0">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 xml:space="preserve">Mississippi </w:t>
      </w:r>
      <w:r w:rsidR="00D3326D">
        <w:rPr>
          <w:rFonts w:ascii="TimesNewRoman" w:hAnsi="TimesNewRoman" w:cs="TimesNewRoman"/>
          <w:sz w:val="24"/>
          <w:szCs w:val="24"/>
        </w:rPr>
        <w:t>ha</w:t>
      </w:r>
      <w:r w:rsidR="00562AE6">
        <w:rPr>
          <w:rFonts w:ascii="TimesNewRoman" w:hAnsi="TimesNewRoman" w:cs="TimesNewRoman"/>
          <w:sz w:val="24"/>
          <w:szCs w:val="24"/>
        </w:rPr>
        <w:t xml:space="preserve">s </w:t>
      </w:r>
      <w:r w:rsidR="003C5D21">
        <w:rPr>
          <w:rFonts w:ascii="TimesNewRoman" w:hAnsi="TimesNewRoman" w:cs="TimesNewRoman"/>
          <w:sz w:val="24"/>
          <w:szCs w:val="24"/>
        </w:rPr>
        <w:t>eleven</w:t>
      </w:r>
      <w:r w:rsidR="00562AE6">
        <w:rPr>
          <w:rFonts w:ascii="TimesNewRoman" w:hAnsi="TimesNewRoman" w:cs="TimesNewRoman"/>
          <w:sz w:val="24"/>
          <w:szCs w:val="24"/>
        </w:rPr>
        <w:t xml:space="preserve"> poultry processing plants</w:t>
      </w:r>
      <w:r w:rsidR="003C5D21">
        <w:rPr>
          <w:rFonts w:ascii="TimesNewRoman" w:hAnsi="TimesNewRoman" w:cs="TimesNewRoman"/>
          <w:sz w:val="24"/>
          <w:szCs w:val="24"/>
        </w:rPr>
        <w:t xml:space="preserve"> and several fish processing plants </w:t>
      </w:r>
      <w:r w:rsidR="00562AE6">
        <w:rPr>
          <w:rFonts w:ascii="TimesNewRoman" w:hAnsi="TimesNewRoman" w:cs="TimesNewRoman"/>
          <w:sz w:val="24"/>
          <w:szCs w:val="24"/>
        </w:rPr>
        <w:t>that have individual permits with surface water discharges</w:t>
      </w:r>
      <w:r w:rsidR="006611D9">
        <w:rPr>
          <w:rFonts w:ascii="TimesNewRoman" w:hAnsi="TimesNewRoman" w:cs="TimesNewRoman"/>
          <w:sz w:val="24"/>
          <w:szCs w:val="24"/>
        </w:rPr>
        <w:t xml:space="preserve"> or discharge into a municipal POTW</w:t>
      </w:r>
      <w:r w:rsidR="00C411BD">
        <w:rPr>
          <w:rFonts w:ascii="TimesNewRoman" w:hAnsi="TimesNewRoman" w:cs="TimesNewRoman"/>
          <w:sz w:val="24"/>
          <w:szCs w:val="24"/>
        </w:rPr>
        <w:t>.</w:t>
      </w:r>
      <w:r w:rsidR="006611D9">
        <w:rPr>
          <w:rFonts w:ascii="TimesNewRoman" w:hAnsi="TimesNewRoman" w:cs="TimesNewRoman"/>
          <w:sz w:val="24"/>
          <w:szCs w:val="24"/>
        </w:rPr>
        <w:t xml:space="preserve"> </w:t>
      </w:r>
      <w:r w:rsidR="009235C0">
        <w:rPr>
          <w:rFonts w:ascii="TimesNewRoman" w:hAnsi="TimesNewRoman" w:cs="TimesNewRoman"/>
          <w:sz w:val="24"/>
          <w:szCs w:val="24"/>
        </w:rPr>
        <w:t xml:space="preserve"> </w:t>
      </w:r>
      <w:r w:rsidR="00DA4A3B">
        <w:rPr>
          <w:rFonts w:ascii="TimesNewRoman" w:hAnsi="TimesNewRoman" w:cs="TimesNewRoman"/>
          <w:sz w:val="24"/>
          <w:szCs w:val="24"/>
        </w:rPr>
        <w:t xml:space="preserve">The </w:t>
      </w:r>
      <w:r w:rsidR="00562AE6">
        <w:rPr>
          <w:rFonts w:ascii="TimesNewRoman" w:hAnsi="TimesNewRoman" w:cs="TimesNewRoman"/>
          <w:sz w:val="24"/>
          <w:szCs w:val="24"/>
        </w:rPr>
        <w:t xml:space="preserve">poultry </w:t>
      </w:r>
      <w:r w:rsidR="003C5D21">
        <w:rPr>
          <w:rFonts w:ascii="TimesNewRoman" w:hAnsi="TimesNewRoman" w:cs="TimesNewRoman"/>
          <w:sz w:val="24"/>
          <w:szCs w:val="24"/>
        </w:rPr>
        <w:t xml:space="preserve">processing </w:t>
      </w:r>
      <w:r w:rsidR="00562AE6">
        <w:rPr>
          <w:rFonts w:ascii="TimesNewRoman" w:hAnsi="TimesNewRoman" w:cs="TimesNewRoman"/>
          <w:sz w:val="24"/>
          <w:szCs w:val="24"/>
        </w:rPr>
        <w:t>plant</w:t>
      </w:r>
      <w:r w:rsidR="003C5D21">
        <w:rPr>
          <w:rFonts w:ascii="TimesNewRoman" w:hAnsi="TimesNewRoman" w:cs="TimesNewRoman"/>
          <w:sz w:val="24"/>
          <w:szCs w:val="24"/>
        </w:rPr>
        <w:t>s</w:t>
      </w:r>
      <w:r w:rsidR="00562AE6">
        <w:rPr>
          <w:rFonts w:ascii="TimesNewRoman" w:hAnsi="TimesNewRoman" w:cs="TimesNewRoman"/>
          <w:sz w:val="24"/>
          <w:szCs w:val="24"/>
        </w:rPr>
        <w:t xml:space="preserve"> </w:t>
      </w:r>
      <w:r w:rsidR="006611D9">
        <w:rPr>
          <w:rFonts w:ascii="TimesNewRoman" w:hAnsi="TimesNewRoman" w:cs="TimesNewRoman"/>
          <w:sz w:val="24"/>
          <w:szCs w:val="24"/>
        </w:rPr>
        <w:t xml:space="preserve">with individual surface discharge </w:t>
      </w:r>
      <w:r w:rsidR="00562AE6">
        <w:rPr>
          <w:rFonts w:ascii="TimesNewRoman" w:hAnsi="TimesNewRoman" w:cs="TimesNewRoman"/>
          <w:sz w:val="24"/>
          <w:szCs w:val="24"/>
        </w:rPr>
        <w:t>permits</w:t>
      </w:r>
      <w:r w:rsidR="006D70EA">
        <w:rPr>
          <w:rFonts w:ascii="TimesNewRoman" w:hAnsi="TimesNewRoman" w:cs="TimesNewRoman"/>
          <w:sz w:val="24"/>
          <w:szCs w:val="24"/>
        </w:rPr>
        <w:t xml:space="preserve"> </w:t>
      </w:r>
      <w:r w:rsidR="000C22EE">
        <w:rPr>
          <w:rFonts w:ascii="TimesNewRoman" w:hAnsi="TimesNewRoman" w:cs="TimesNewRoman"/>
          <w:sz w:val="24"/>
          <w:szCs w:val="24"/>
        </w:rPr>
        <w:t xml:space="preserve">have </w:t>
      </w:r>
      <w:r w:rsidR="006611D9">
        <w:rPr>
          <w:rFonts w:ascii="TimesNewRoman" w:hAnsi="TimesNewRoman" w:cs="TimesNewRoman"/>
          <w:sz w:val="24"/>
          <w:szCs w:val="24"/>
        </w:rPr>
        <w:t xml:space="preserve">a </w:t>
      </w:r>
      <w:r w:rsidR="006D70EA">
        <w:rPr>
          <w:rFonts w:ascii="TimesNewRoman" w:hAnsi="TimesNewRoman" w:cs="TimesNewRoman"/>
          <w:sz w:val="24"/>
          <w:szCs w:val="24"/>
        </w:rPr>
        <w:t xml:space="preserve">103 mg/l total nitrogen monthly average </w:t>
      </w:r>
      <w:r w:rsidR="000C22EE">
        <w:rPr>
          <w:rFonts w:ascii="TimesNewRoman" w:hAnsi="TimesNewRoman" w:cs="TimesNewRoman"/>
          <w:sz w:val="24"/>
          <w:szCs w:val="24"/>
        </w:rPr>
        <w:t xml:space="preserve">and 147 mg/l maximum month total nitrogen limit. The limit of 103 mg/l is a </w:t>
      </w:r>
      <w:r w:rsidR="006D70EA">
        <w:rPr>
          <w:rFonts w:ascii="TimesNewRoman" w:hAnsi="TimesNewRoman" w:cs="TimesNewRoman"/>
          <w:sz w:val="24"/>
          <w:szCs w:val="24"/>
        </w:rPr>
        <w:t>federal US EPA technology based limit</w:t>
      </w:r>
      <w:r w:rsidR="000C22EE">
        <w:rPr>
          <w:rFonts w:ascii="TimesNewRoman" w:hAnsi="TimesNewRoman" w:cs="TimesNewRoman"/>
          <w:sz w:val="24"/>
          <w:szCs w:val="24"/>
        </w:rPr>
        <w:t xml:space="preserve"> for poultry processing facilities were individual site specific limits are not issued</w:t>
      </w:r>
      <w:r w:rsidR="006D70EA">
        <w:rPr>
          <w:rFonts w:ascii="TimesNewRoman" w:hAnsi="TimesNewRoman" w:cs="TimesNewRoman"/>
          <w:sz w:val="24"/>
          <w:szCs w:val="24"/>
        </w:rPr>
        <w:t xml:space="preserve">. </w:t>
      </w:r>
      <w:r w:rsidR="006611D9">
        <w:rPr>
          <w:rFonts w:ascii="TimesNewRoman" w:hAnsi="TimesNewRoman" w:cs="TimesNewRoman"/>
          <w:sz w:val="24"/>
          <w:szCs w:val="24"/>
        </w:rPr>
        <w:t>Poultry processing facilities that discharge to a POTW have local discharge limits that vary.</w:t>
      </w:r>
      <w:r w:rsidR="003C5D21">
        <w:rPr>
          <w:rFonts w:ascii="TimesNewRoman" w:hAnsi="TimesNewRoman" w:cs="TimesNewRoman"/>
          <w:sz w:val="24"/>
          <w:szCs w:val="24"/>
        </w:rPr>
        <w:t xml:space="preserve"> The fish processing plants have a daily mass based nitrogen limit or local limits if they discharge into a municipal POTW.</w:t>
      </w:r>
    </w:p>
    <w:p w:rsidR="006611D9" w:rsidRDefault="006611D9" w:rsidP="009235C0">
      <w:pPr>
        <w:autoSpaceDE w:val="0"/>
        <w:autoSpaceDN w:val="0"/>
        <w:adjustRightInd w:val="0"/>
        <w:spacing w:after="0" w:line="240" w:lineRule="auto"/>
        <w:rPr>
          <w:rFonts w:ascii="TimesNewRoman" w:hAnsi="TimesNewRoman" w:cs="TimesNewRoman"/>
          <w:sz w:val="24"/>
          <w:szCs w:val="24"/>
        </w:rPr>
      </w:pPr>
    </w:p>
    <w:p w:rsidR="006D70EA" w:rsidRDefault="000C22EE" w:rsidP="009235C0">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Most of the poultry processing facilities do not require a supplemental carbon source to achieve the federal limit for total nitrogen</w:t>
      </w:r>
      <w:r w:rsidR="008D5B1B">
        <w:rPr>
          <w:rFonts w:ascii="TimesNewRoman" w:hAnsi="TimesNewRoman" w:cs="TimesNewRoman"/>
          <w:sz w:val="24"/>
          <w:szCs w:val="24"/>
        </w:rPr>
        <w:t xml:space="preserve"> due to the high total nitrogen concentration based limit</w:t>
      </w:r>
      <w:r w:rsidR="006611D9">
        <w:rPr>
          <w:rFonts w:ascii="TimesNewRoman" w:hAnsi="TimesNewRoman" w:cs="TimesNewRoman"/>
          <w:sz w:val="24"/>
          <w:szCs w:val="24"/>
        </w:rPr>
        <w:t xml:space="preserve"> or high local limits from the POTW</w:t>
      </w:r>
      <w:r>
        <w:rPr>
          <w:rFonts w:ascii="TimesNewRoman" w:hAnsi="TimesNewRoman" w:cs="TimesNewRoman"/>
          <w:sz w:val="24"/>
          <w:szCs w:val="24"/>
        </w:rPr>
        <w:t xml:space="preserve">. For the few facilities that use a supplemental carbon source </w:t>
      </w:r>
      <w:r w:rsidR="008D5B1B">
        <w:rPr>
          <w:rFonts w:ascii="TimesNewRoman" w:hAnsi="TimesNewRoman" w:cs="TimesNewRoman"/>
          <w:sz w:val="24"/>
          <w:szCs w:val="24"/>
        </w:rPr>
        <w:t xml:space="preserve">glycerin typically is used and it is generally used </w:t>
      </w:r>
      <w:r>
        <w:rPr>
          <w:rFonts w:ascii="TimesNewRoman" w:hAnsi="TimesNewRoman" w:cs="TimesNewRoman"/>
          <w:sz w:val="24"/>
          <w:szCs w:val="24"/>
        </w:rPr>
        <w:t>intermittently.</w:t>
      </w:r>
      <w:r w:rsidR="006D70EA">
        <w:rPr>
          <w:rFonts w:ascii="TimesNewRoman" w:hAnsi="TimesNewRoman" w:cs="TimesNewRoman"/>
          <w:sz w:val="24"/>
          <w:szCs w:val="24"/>
        </w:rPr>
        <w:t xml:space="preserve"> </w:t>
      </w:r>
    </w:p>
    <w:p w:rsidR="006D70EA" w:rsidRDefault="006D70EA" w:rsidP="009235C0">
      <w:pPr>
        <w:autoSpaceDE w:val="0"/>
        <w:autoSpaceDN w:val="0"/>
        <w:adjustRightInd w:val="0"/>
        <w:spacing w:after="0" w:line="240" w:lineRule="auto"/>
        <w:rPr>
          <w:rFonts w:ascii="TimesNewRoman" w:hAnsi="TimesNewRoman" w:cs="TimesNewRoman"/>
          <w:sz w:val="24"/>
          <w:szCs w:val="24"/>
        </w:rPr>
      </w:pPr>
    </w:p>
    <w:p w:rsidR="00C44D1B" w:rsidRDefault="006D70EA" w:rsidP="009235C0">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 xml:space="preserve">The </w:t>
      </w:r>
      <w:r w:rsidR="003C5D21">
        <w:rPr>
          <w:rFonts w:ascii="TimesNewRoman" w:hAnsi="TimesNewRoman" w:cs="TimesNewRoman"/>
          <w:sz w:val="24"/>
          <w:szCs w:val="24"/>
        </w:rPr>
        <w:t>Mississippi</w:t>
      </w:r>
      <w:r w:rsidR="000C22EE">
        <w:rPr>
          <w:rFonts w:ascii="TimesNewRoman" w:hAnsi="TimesNewRoman" w:cs="TimesNewRoman"/>
          <w:sz w:val="24"/>
          <w:szCs w:val="24"/>
        </w:rPr>
        <w:t xml:space="preserve"> </w:t>
      </w:r>
      <w:r>
        <w:rPr>
          <w:rFonts w:ascii="TimesNewRoman" w:hAnsi="TimesNewRoman" w:cs="TimesNewRoman"/>
          <w:sz w:val="24"/>
          <w:szCs w:val="24"/>
        </w:rPr>
        <w:t xml:space="preserve">Department of Environmental </w:t>
      </w:r>
      <w:r w:rsidR="00C44D1B">
        <w:rPr>
          <w:rFonts w:ascii="TimesNewRoman" w:hAnsi="TimesNewRoman" w:cs="TimesNewRoman"/>
          <w:sz w:val="24"/>
          <w:szCs w:val="24"/>
        </w:rPr>
        <w:t>Protection</w:t>
      </w:r>
      <w:r w:rsidR="000C22EE">
        <w:rPr>
          <w:rFonts w:ascii="TimesNewRoman" w:hAnsi="TimesNewRoman" w:cs="TimesNewRoman"/>
          <w:sz w:val="24"/>
          <w:szCs w:val="24"/>
        </w:rPr>
        <w:t xml:space="preserve"> </w:t>
      </w:r>
      <w:r>
        <w:rPr>
          <w:rFonts w:ascii="TimesNewRoman" w:hAnsi="TimesNewRoman" w:cs="TimesNewRoman"/>
          <w:sz w:val="24"/>
          <w:szCs w:val="24"/>
        </w:rPr>
        <w:t xml:space="preserve">has listed </w:t>
      </w:r>
      <w:r w:rsidR="00AC3186">
        <w:rPr>
          <w:rFonts w:ascii="TimesNewRoman" w:hAnsi="TimesNewRoman" w:cs="TimesNewRoman"/>
          <w:sz w:val="24"/>
          <w:szCs w:val="24"/>
        </w:rPr>
        <w:t>the Pascagoula and Tombigbee River basins in the states 303d list of impaired waters with nutrient concerns. TMDLs for both rivers are in the development stage for nutrients along with site specific nutrient criteria. Implementation of any specific nutrient limits for point source dischargers is estimated to be greater than five years out.</w:t>
      </w:r>
      <w:bookmarkStart w:id="0" w:name="_GoBack"/>
      <w:bookmarkEnd w:id="0"/>
      <w:r w:rsidR="00AC3186">
        <w:rPr>
          <w:rFonts w:ascii="TimesNewRoman" w:hAnsi="TimesNewRoman" w:cs="TimesNewRoman"/>
          <w:sz w:val="24"/>
          <w:szCs w:val="24"/>
        </w:rPr>
        <w:t xml:space="preserve">     </w:t>
      </w:r>
    </w:p>
    <w:p w:rsidR="00C44D1B" w:rsidRDefault="00C44D1B" w:rsidP="009235C0">
      <w:pPr>
        <w:autoSpaceDE w:val="0"/>
        <w:autoSpaceDN w:val="0"/>
        <w:adjustRightInd w:val="0"/>
        <w:spacing w:after="0" w:line="240" w:lineRule="auto"/>
        <w:rPr>
          <w:rFonts w:ascii="TimesNewRoman" w:hAnsi="TimesNewRoman" w:cs="TimesNewRoman"/>
          <w:sz w:val="24"/>
          <w:szCs w:val="24"/>
        </w:rPr>
      </w:pPr>
    </w:p>
    <w:p w:rsidR="00C44D1B" w:rsidRDefault="00C44D1B" w:rsidP="00C44D1B">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 xml:space="preserve">The Mississippi Department of Environmental Protection is actively involved in the larger Mississippi River basin study with the US EPA. The drainage basin for the Mississippi River in Mississippi will affect the majority of large wastewater treatment plants in the state. The likely schedule for actual wastewater nitrogen limits for dischargers and completed wastewater improvements with nitrogen limits is greater than five years.  </w:t>
      </w:r>
    </w:p>
    <w:p w:rsidR="00C44D1B" w:rsidRDefault="00C44D1B" w:rsidP="009235C0">
      <w:pPr>
        <w:autoSpaceDE w:val="0"/>
        <w:autoSpaceDN w:val="0"/>
        <w:adjustRightInd w:val="0"/>
        <w:spacing w:after="0" w:line="240" w:lineRule="auto"/>
        <w:rPr>
          <w:rFonts w:ascii="TimesNewRoman" w:hAnsi="TimesNewRoman" w:cs="TimesNewRoman"/>
          <w:sz w:val="24"/>
          <w:szCs w:val="24"/>
        </w:rPr>
      </w:pPr>
    </w:p>
    <w:p w:rsidR="00D42877" w:rsidRDefault="00D42877" w:rsidP="009235C0">
      <w:pPr>
        <w:autoSpaceDE w:val="0"/>
        <w:autoSpaceDN w:val="0"/>
        <w:adjustRightInd w:val="0"/>
        <w:spacing w:after="0" w:line="240" w:lineRule="auto"/>
        <w:rPr>
          <w:rFonts w:ascii="TimesNewRoman" w:hAnsi="TimesNewRoman" w:cs="TimesNewRoman"/>
          <w:sz w:val="24"/>
          <w:szCs w:val="24"/>
        </w:rPr>
      </w:pPr>
    </w:p>
    <w:p w:rsidR="00812486" w:rsidRDefault="00812486" w:rsidP="009235C0">
      <w:pPr>
        <w:autoSpaceDE w:val="0"/>
        <w:autoSpaceDN w:val="0"/>
        <w:adjustRightInd w:val="0"/>
        <w:spacing w:after="0" w:line="240" w:lineRule="auto"/>
        <w:rPr>
          <w:rFonts w:ascii="TimesNewRoman" w:hAnsi="TimesNewRoman" w:cs="TimesNewRoman"/>
          <w:sz w:val="24"/>
          <w:szCs w:val="24"/>
        </w:rPr>
      </w:pPr>
    </w:p>
    <w:p w:rsidR="009235C0" w:rsidRDefault="009235C0" w:rsidP="009235C0">
      <w:pPr>
        <w:autoSpaceDE w:val="0"/>
        <w:autoSpaceDN w:val="0"/>
        <w:adjustRightInd w:val="0"/>
        <w:spacing w:after="0" w:line="240" w:lineRule="auto"/>
        <w:rPr>
          <w:rFonts w:ascii="TimesNewRoman" w:hAnsi="TimesNewRoman" w:cs="TimesNewRoman"/>
          <w:sz w:val="24"/>
          <w:szCs w:val="24"/>
        </w:rPr>
      </w:pPr>
    </w:p>
    <w:p w:rsidR="00FA7B7E" w:rsidRDefault="00282500" w:rsidP="004A4D55">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 xml:space="preserve">  </w:t>
      </w:r>
      <w:r w:rsidR="004A4D55">
        <w:rPr>
          <w:rFonts w:ascii="TimesNewRoman" w:hAnsi="TimesNewRoman" w:cs="TimesNewRoman"/>
          <w:sz w:val="24"/>
          <w:szCs w:val="24"/>
        </w:rPr>
        <w:t xml:space="preserve">   </w:t>
      </w:r>
    </w:p>
    <w:p w:rsidR="00FA7B7E" w:rsidRDefault="00FA7B7E" w:rsidP="00FA7B7E">
      <w:pPr>
        <w:autoSpaceDE w:val="0"/>
        <w:autoSpaceDN w:val="0"/>
        <w:adjustRightInd w:val="0"/>
        <w:spacing w:after="0" w:line="240" w:lineRule="auto"/>
        <w:rPr>
          <w:rFonts w:ascii="TimesNewRoman" w:hAnsi="TimesNewRoman" w:cs="TimesNewRoman"/>
          <w:sz w:val="24"/>
          <w:szCs w:val="24"/>
        </w:rPr>
      </w:pPr>
    </w:p>
    <w:sectPr w:rsidR="00FA7B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B7E"/>
    <w:rsid w:val="00015BA6"/>
    <w:rsid w:val="00024607"/>
    <w:rsid w:val="0004148E"/>
    <w:rsid w:val="0009009C"/>
    <w:rsid w:val="000C22EE"/>
    <w:rsid w:val="000F3283"/>
    <w:rsid w:val="00153468"/>
    <w:rsid w:val="0015564F"/>
    <w:rsid w:val="00181B27"/>
    <w:rsid w:val="00282500"/>
    <w:rsid w:val="002E6E53"/>
    <w:rsid w:val="003C5D21"/>
    <w:rsid w:val="004A4D55"/>
    <w:rsid w:val="00521768"/>
    <w:rsid w:val="00560552"/>
    <w:rsid w:val="00561479"/>
    <w:rsid w:val="00561E8A"/>
    <w:rsid w:val="00562AE6"/>
    <w:rsid w:val="00626909"/>
    <w:rsid w:val="006611D9"/>
    <w:rsid w:val="006D70EA"/>
    <w:rsid w:val="007504B0"/>
    <w:rsid w:val="007A2C9C"/>
    <w:rsid w:val="00812486"/>
    <w:rsid w:val="00862708"/>
    <w:rsid w:val="008D5B1B"/>
    <w:rsid w:val="009235C0"/>
    <w:rsid w:val="00941116"/>
    <w:rsid w:val="00962A49"/>
    <w:rsid w:val="00AC3186"/>
    <w:rsid w:val="00B07364"/>
    <w:rsid w:val="00C411BD"/>
    <w:rsid w:val="00C44D1B"/>
    <w:rsid w:val="00D3326D"/>
    <w:rsid w:val="00D42877"/>
    <w:rsid w:val="00DA4A3B"/>
    <w:rsid w:val="00E109E9"/>
    <w:rsid w:val="00FA7B7E"/>
    <w:rsid w:val="00FD36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6D02AD-34AC-4B24-BDB9-59520C294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7B7E"/>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329</Words>
  <Characters>1880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Johnson</dc:creator>
  <cp:keywords/>
  <dc:description/>
  <cp:lastModifiedBy>Gary Johnson</cp:lastModifiedBy>
  <cp:revision>5</cp:revision>
  <dcterms:created xsi:type="dcterms:W3CDTF">2015-08-09T17:11:00Z</dcterms:created>
  <dcterms:modified xsi:type="dcterms:W3CDTF">2015-08-09T18:43:00Z</dcterms:modified>
</cp:coreProperties>
</file>